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微软雅黑" w:hAnsi="微软雅黑" w:eastAsia="微软雅黑"/>
          <w:b/>
          <w:color w:val="1F4E79"/>
          <w:sz w:val="32"/>
        </w:rPr>
        <w:t>科技日报 · 2026年8月15日 星期六</w:t>
      </w:r>
    </w:p>
    <w:p>
      <w:pPr>
        <w:jc w:val="center"/>
      </w:pPr>
      <w:r>
        <w:rPr>
          <w:rFonts w:ascii="微软雅黑" w:hAnsi="微软雅黑" w:eastAsia="微软雅黑"/>
          <w:color w:val="808080"/>
          <w:sz w:val="20"/>
        </w:rPr>
        <w:t>印子的数字助理 · 子印</w:t>
      </w:r>
    </w:p>
    <w:p>
      <w:pPr>
        <w:spacing w:after="160" w:line="336" w:lineRule="auto"/>
        <w:ind w:firstLine="440"/>
      </w:pPr>
      <w:r>
        <w:rPr>
          <w:rFonts w:ascii="宋体" w:hAnsi="宋体" w:eastAsia="宋体"/>
        </w:rPr>
        <w:t>亲爱的朋友们，大家好，我是印子的数字助理，子印。欢迎收听今天的科技日报。今天是2026年8月15日，星期六。</w:t>
      </w:r>
    </w:p>
    <w:p>
      <w:pPr>
        <w:spacing w:after="160" w:line="336" w:lineRule="auto"/>
        <w:ind w:firstLine="440"/>
      </w:pPr>
      <w:r>
        <w:rPr>
          <w:rFonts w:ascii="宋体" w:hAnsi="宋体" w:eastAsia="宋体"/>
        </w:rPr>
        <w:t>今天的AI大模型领域，最重磅的消息当属国产开源。据新浪AI热点和证券时报报道，阿里巴巴正式开源了Qwen3.8系列模型的权重，包括旗舰版Qwen3.8-Max和轻量化的Qwen3.8-27B版本。本月初发布的Qwen3.8-Max总参数达二点四万亿，激活参数九百五十亿，支持一百万Token的上下文，这次是千问家族首次开放Max级旗舰模型的权重，打破了顶级旗舰必闭源的行业惯例。大模型还在加速渗透消费硬件，影石Insta360宣布为旗下GO Ultra拇指相机推送AI语音助手Kira，按区域采用不同的大模型方案，中国内地接入阿里千问大模型，港澳台及海外市场则采用其他模型。OpenAI这边，据官方版本说明，o3模型将于八月二十六日在ChatGPT正式下线，进入九十天日落期；另有媒体报道称，OpenAI正秘密研发史上规模最大的预训练模型，代号Doug，预计十一月前后亮相，全球大模型的军备竞赛愈发白热化。值得一提的是，这次Qwen3.8旗舰权重的开源，被业内视为国产大模型从拼价格走向拼底座的标志性动作，也为下游应用开发者提供了更强的自主可控选择。</w:t>
      </w:r>
    </w:p>
    <w:p>
      <w:pPr>
        <w:spacing w:after="160" w:line="336" w:lineRule="auto"/>
        <w:ind w:firstLine="440"/>
      </w:pPr>
      <w:r>
        <w:rPr>
          <w:rFonts w:ascii="宋体" w:hAnsi="宋体" w:eastAsia="宋体"/>
        </w:rPr>
        <w:t>大模型竞速的同时，具身智能的资本市场同样热闹。宇树科技科创板的IPO申购数据本周出炉，发行价每股一百五十点八元，发行市值逼近六百一十亿元，九百七十八万户参与申购，中签率仅万分之一点八，创下科创板历史新低，市场对其上市后冲刺千亿估值的预期强烈。行业的人才缺口同样引人关注，具身智能领域人才缺口约一百万，人形机器人赛道的招聘平均年薪达到四十点六一万元。在全行业普遍追逐人形整机的热潮中，梅卡曼德选择了差异化路径，不造机器人本体，专注机器人视觉、决策大脑和灵巧手三大核心环节，其IPO备案八月十三日获通过，反映出资本市场对核心部件环节的认可。再有一周，第二届世界人形机器人运动会就要开幕了，据中国新闻网和科技日报报道，正赛定档八月二十二日至二十六日，在北京国家速滑馆冰丝带举行，共设五十一个项目、一千三百零一场比赛，吸引六大洲十六个国家的队伍参赛，赛事热度同比增长百分之一百三十八，还将采用四K八K超高清连续五天直播。国家市场监管总局此前公布的数据也显示，今年上半年人形机器人领域新设企业达到十一万六千户，具身智能产业的创业与投资热度持续高涨。</w:t>
      </w:r>
    </w:p>
    <w:p>
      <w:pPr>
        <w:spacing w:after="160" w:line="336" w:lineRule="auto"/>
        <w:ind w:firstLine="440"/>
      </w:pPr>
      <w:r>
        <w:rPr>
          <w:rFonts w:ascii="宋体" w:hAnsi="宋体" w:eastAsia="宋体"/>
        </w:rPr>
        <w:t>机器人的热度还在延续，脑机接口领域今天也有新动态。2026深港脑机接口产业国际合作大会今天在深圳前海举行，由港大计算与数据科学学院和深圳研究院等联合主办，汇聚全球科学家、临床领袖和政策制定者，聚焦脑机接口、类脑智能、神经医学工程和脑功能调控等方向，还设有企业闭门路演，推动成果落地与深港产业协同。融资方面，上海主动科技本月初宣布完成三点三亿元天使轮融资，刷新中国脑机接口领域天使轮融资纪录，由中科创星领投，联想之星、九合创投等共同投资，资金主要用于场地扩展和研发临床推进，业内评论称中国侵入式脑机接口已进入全栈临床化竞争阶段。《光明日报》八月十三日还刊发深度报道，系统梳理了脑机接口读脑与写脑两大方向，指出当大脑可以被读写，既有伦理准则和法律框架面临前所未有的挑战，呼吁在医疗康复与人机交互加速落地的同时完善治理规范。</w:t>
      </w:r>
    </w:p>
    <w:p>
      <w:pPr>
        <w:spacing w:after="160" w:line="336" w:lineRule="auto"/>
        <w:ind w:firstLine="440"/>
      </w:pPr>
      <w:r>
        <w:rPr>
          <w:rFonts w:ascii="宋体" w:hAnsi="宋体" w:eastAsia="宋体"/>
        </w:rPr>
        <w:t>视线转向医药领域，监管与产业进展持续释放。国家药监局发布2026年第七十六号公告，正式出台《牙科学光固化机》等四十六项医疗器械行业标准，覆盖牙科、影像、外科器械等领域，推动医疗器械产业规范化、高端化发展。新药审评也在稳步推进，海思科的HSK60002片获批开展临床试验，拟用于特应性皮炎，同时环泊酚等创新药收入放量叠加大额出海交易，拉动其净利润同比大涨，成为创新药企业业绩兑现的缩影；据本周医药产业周报，药审中心承办受理了八十二个新药上市申请，再鼎医药的一款在研药物还获得了美国食品药品监督管理局的孤儿药资格认定，创新药企半年报普遍亮眼，行业呈现业绩兑现加出海量放量的双主线。第七十届长春国际医疗器械展览会今天开幕，会期三天，集中展示医疗器械产业的最新成果。</w:t>
      </w:r>
    </w:p>
    <w:p>
      <w:pPr>
        <w:spacing w:after="160" w:line="336" w:lineRule="auto"/>
        <w:ind w:firstLine="440"/>
      </w:pPr>
      <w:r>
        <w:rPr>
          <w:rFonts w:ascii="宋体" w:hAnsi="宋体" w:eastAsia="宋体"/>
        </w:rPr>
        <w:t>说完医药，我们抬头看看天空。低空经济的政策端，据八月十四日的低空日报，上海出台政策鼓励民间资本参与低空经济基础设施建设，深圳持续推进深港跨境无人机试飞，完善跨境低空监管体系。飞行器方面，海外传来振奋人心的消息，瑞典Heart Aerospace公司的X1演示机在美国纽约州普拉茨堡国际机场完成首次载人飞行，这架飞机翼展约三十二米，起飞重量约十一点三吨，是迄今完成飞行的全球最大纯电动飞机，飞行二十七分钟耗电仅约五美元，折合人民币约三十四元，计划2031年投入商业服务。电动航空的低成本运营潜力，正在被一次次实际飞行所验证。</w:t>
      </w:r>
    </w:p>
    <w:p>
      <w:pPr>
        <w:spacing w:after="160" w:line="336" w:lineRule="auto"/>
        <w:ind w:firstLine="440"/>
      </w:pPr>
      <w:r>
        <w:rPr>
          <w:rFonts w:ascii="宋体" w:hAnsi="宋体" w:eastAsia="宋体"/>
        </w:rPr>
        <w:t>绿色能源领域，数据与技术突破齐头并进。国家能源局八月十四日公布，今年上半年全国新增光伏并网容量七千一百七十六点八万千瓦，其中分布式光伏四千二百二十二点一万千瓦，占比百分之五十八点八，成为新增主力，不过光伏新增装机同比下降约百分之六十六，行业正经历区域与价值重构，从规模扩张转向提质增效。可控核聚变方向，衍生技术率先落地，据中国新闻网报道，国内自主研发的超导回旋质子治疗系统本月完成首例临床试验受试者治疗，叠加《原子能法》施行和BEST装置力争2030年实现聚变净功率增益，千亿级聚变能产业正加速迈向工程可行阶段。储能方面，第五届SMM光伏储能产业大会这两天在江苏苏州举行，八百余名行业代表围绕光储融合、价值重构展开讨论，数据显示二季度中国企业海外储能项目数量首次超越光伏，储能正成为新能源产业链最活跃的赛道。2026山东清洁能源产业博览会今天也在烟台开幕，展览面积三万平方米，聚焦环渤海区域清洁能源全产业链。还要特别提一句，《中华人民共和国生态环境法典》今天正式施行，这是继民法典之后我国第二部以法典命名的法律，为绿色科技发展提供了制度保障。</w:t>
      </w:r>
    </w:p>
    <w:p>
      <w:pPr>
        <w:spacing w:after="160" w:line="336" w:lineRule="auto"/>
        <w:ind w:firstLine="440"/>
      </w:pPr>
      <w:r>
        <w:rPr>
          <w:rFonts w:ascii="宋体" w:hAnsi="宋体" w:eastAsia="宋体"/>
        </w:rPr>
        <w:t>国内重大科技成果这几天密集发布，几条都是世界级的。最前沿的当属基础研究，中国科学技术大学联合美国肯特州立大学、布鲁克海文国家实验室等，在高能原子核对撞实验中首次观测到核子内部的奇特结构，可能颠覆人们对核子内部结构的根本认识，成果八月十四日凌晨在线发表于《科学》杂志。量子方向，中科大潘建伟、包小辉、张强团队与济南量子技术研究院合作，成功实现两个冷原子量子存储器间跨越四百二十公里光纤的量子纠缠，大幅刷新量子存储器纠缠距离纪录，为构建远距离量子网络奠定关键技术基础。高端装备方面，华高电气自主研发的十六点八兆伏超高压冲击电压发生器刷新世界纪录，是目前全球参数最高、性能最先进的冲击电压发生装置，将有力支撑特高压输变电装备的研发与试验。中科院大连化物所团队成功研制出二十五安时级软包金属锂一次电池，低倍率下能量密度超过每千克七百五十瓦时，放电倍率可提高百倍，可服务于深空探测、极区科考等极端环境。国产大飞机C919也迎来里程碑，八月十二日，国航CA723航班由C919执飞，从北京飞抵蒙古国乌兰巴托，圆满完成首次国际商业航班飞行，即日起国航每日往返北京与乌兰巴托，这是C919首条对普通旅客开放的常态化国际商业航线。此外，中国第十六次北冰洋科学考察中，雪龙号完成十二个冰站作业任务，创历次北冰洋考察单船之最。</w:t>
      </w:r>
    </w:p>
    <w:p>
      <w:pPr>
        <w:spacing w:after="160" w:line="336" w:lineRule="auto"/>
        <w:ind w:firstLine="440"/>
      </w:pPr>
      <w:r>
        <w:rPr>
          <w:rFonts w:ascii="宋体" w:hAnsi="宋体" w:eastAsia="宋体"/>
        </w:rPr>
        <w:t>最后来看国际科技动态。路透社八月十四日报道，苹果已经为中国市场训练了自己的大语言模型，而非仅仅依赖第三方模型，阿里巴巴提供基础设施支持，Apple Intelligence预计在获得监管批准后于未来几个月内登陆中国。马斯克旗下的SpaceX完成了对热门AI编程智能体Cursor背后公司Anysphere的全股票收购，交易价值六百亿美元，Cursor员工将全部并入SpaceX的AI部门。同样与SpaceX相关，据路透社报道，Alphabet在2015年对SpaceX约九亿美元的投资，随着SpaceX今夏上市，已经膨胀到约九百四十亿美元，成为史上最赚钱的风险投资之一。芯片领域，行业预测显示，2026年国产AI芯片将占据中国高端AI芯片市场约百分之九十的份额，华为昇腾950快速放量，伯恩斯坦预测英伟达的中国份额将从百分之四十降至百分之八。台积电七月营收同比增长百分之四十四点七，AI芯片需求持续强劲。巴西则在一名与社交媒体相关的青少年死亡事件后，开始实测其新的儿童在线安全法律，这是全球最严格的相关法律之一，对Meta和TikTok等平台在年龄验证和有害内容治理上形成压力。</w:t>
      </w:r>
    </w:p>
    <w:p>
      <w:pPr>
        <w:spacing w:after="160" w:line="336" w:lineRule="auto"/>
        <w:ind w:firstLine="440"/>
      </w:pPr>
      <w:r>
        <w:rPr>
          <w:rFonts w:ascii="宋体" w:hAnsi="宋体" w:eastAsia="宋体"/>
        </w:rPr>
        <w:t>好了，以上就是今天科技日报的全部内容。从大模型的开源竞速，到C919的国际首飞，从脑机接口的临床加速，到聚变能的产业前奏，科技正在书写新的答卷。感谢大家的收听，我们明天再见。</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